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766B8" w14:textId="77777777" w:rsidR="009575B0" w:rsidRDefault="0093540B">
      <w:pPr>
        <w:spacing w:after="0" w:line="259" w:lineRule="auto"/>
        <w:ind w:left="19" w:right="610" w:hanging="5"/>
        <w:jc w:val="left"/>
      </w:pPr>
      <w:r>
        <w:rPr>
          <w:sz w:val="26"/>
        </w:rPr>
        <w:t>CUMBERLAND COUNTY ALCOHOLIC BEVERAGE CONTROL BOARD</w:t>
      </w:r>
    </w:p>
    <w:p w14:paraId="21EC5EE4" w14:textId="77777777" w:rsidR="009575B0" w:rsidRDefault="0093540B">
      <w:pPr>
        <w:spacing w:after="215" w:line="259" w:lineRule="auto"/>
        <w:ind w:left="19" w:right="610" w:hanging="5"/>
        <w:jc w:val="left"/>
      </w:pPr>
      <w:r>
        <w:rPr>
          <w:sz w:val="26"/>
        </w:rPr>
        <w:t>Budget for the fiscal year 2024 — 2025</w:t>
      </w:r>
    </w:p>
    <w:p w14:paraId="04010439" w14:textId="77777777" w:rsidR="009575B0" w:rsidRDefault="0093540B">
      <w:pPr>
        <w:spacing w:after="215" w:line="259" w:lineRule="auto"/>
        <w:ind w:left="19" w:right="610" w:hanging="5"/>
        <w:jc w:val="left"/>
      </w:pPr>
      <w:r>
        <w:rPr>
          <w:sz w:val="26"/>
        </w:rPr>
        <w:t>May 30, 2024</w:t>
      </w:r>
    </w:p>
    <w:p w14:paraId="360BBA2A" w14:textId="77777777" w:rsidR="009575B0" w:rsidRDefault="0093540B">
      <w:pPr>
        <w:spacing w:after="215" w:line="259" w:lineRule="auto"/>
        <w:ind w:left="19" w:right="610" w:hanging="5"/>
        <w:jc w:val="left"/>
      </w:pPr>
      <w:r>
        <w:rPr>
          <w:sz w:val="26"/>
        </w:rPr>
        <w:t>RE: BUDGET MESSAGE</w:t>
      </w:r>
    </w:p>
    <w:p w14:paraId="7AF1A8F8" w14:textId="77777777" w:rsidR="009575B0" w:rsidRDefault="0093540B">
      <w:pPr>
        <w:ind w:left="14"/>
      </w:pPr>
      <w:r>
        <w:t>To: The Cumberland County ABC Board</w:t>
      </w:r>
    </w:p>
    <w:p w14:paraId="23EC342C" w14:textId="77777777" w:rsidR="009575B0" w:rsidRDefault="0093540B">
      <w:pPr>
        <w:ind w:left="14" w:right="144"/>
      </w:pPr>
      <w:r>
        <w:t>The Annual Budget for the fiscal year July 1, 2024 - June 30, 2025 (FY25) has been prepared per the North Carolina General Statute 18B-702 "Financial operations of the local board". The ABC Board determines, through the adoption of an annual budget, the level of customer services that the ABC system will provide and the resources available for operations and capital projects.</w:t>
      </w:r>
    </w:p>
    <w:p w14:paraId="379A3C0D" w14:textId="77777777" w:rsidR="009575B0" w:rsidRDefault="0093540B">
      <w:pPr>
        <w:ind w:left="14"/>
      </w:pPr>
      <w:r>
        <w:t>Factors contributing to the preparation of this budget include the projected revenue, taxes, cost of goods sold, operating expenses, non-operating revenue (expenses), capital improvements, and distributions.</w:t>
      </w:r>
    </w:p>
    <w:p w14:paraId="32FE7DD0" w14:textId="77777777" w:rsidR="009575B0" w:rsidRDefault="0093540B">
      <w:pPr>
        <w:ind w:left="14" w:right="158"/>
      </w:pPr>
      <w:r>
        <w:t xml:space="preserve">Projected operating revenues reflect a proposed average sales decrease of 3.97% over FY24 sales. The budget consists </w:t>
      </w:r>
      <w:proofErr w:type="spellStart"/>
      <w:r>
        <w:t>ofprojected</w:t>
      </w:r>
      <w:proofErr w:type="spellEnd"/>
      <w:r>
        <w:t xml:space="preserve"> revenues of $60.5 million from liquor sales, $21 ,000 from other incomes, taxes related to liquor income of $14.1 million, cost of sales of $31.5 million, operating expenses costs of $8 million, and income distribution of $7 million.</w:t>
      </w:r>
    </w:p>
    <w:p w14:paraId="682D6C27" w14:textId="77777777" w:rsidR="009575B0" w:rsidRDefault="0093540B">
      <w:pPr>
        <w:spacing w:after="108" w:line="259" w:lineRule="auto"/>
        <w:ind w:left="20" w:hanging="10"/>
        <w:jc w:val="left"/>
      </w:pPr>
      <w:r>
        <w:rPr>
          <w:sz w:val="24"/>
        </w:rPr>
        <w:t>Highlights of the Budget: Key elements include:</w:t>
      </w:r>
    </w:p>
    <w:p w14:paraId="319AFAF9" w14:textId="77777777" w:rsidR="009575B0" w:rsidRDefault="0093540B">
      <w:pPr>
        <w:ind w:left="734" w:hanging="350"/>
      </w:pPr>
      <w:r>
        <w:rPr>
          <w:vertAlign w:val="superscript"/>
        </w:rPr>
        <w:t xml:space="preserve">n </w:t>
      </w:r>
      <w:proofErr w:type="gramStart"/>
      <w:r>
        <w:t>The</w:t>
      </w:r>
      <w:proofErr w:type="gramEnd"/>
      <w:r>
        <w:t xml:space="preserve"> assumption was that no debt will be incurred; all expenses will be funded through cash. Listed below are the planned capital projects for FY25.</w:t>
      </w:r>
    </w:p>
    <w:p w14:paraId="219ADE07" w14:textId="77777777" w:rsidR="009575B0" w:rsidRDefault="0093540B">
      <w:pPr>
        <w:numPr>
          <w:ilvl w:val="0"/>
          <w:numId w:val="1"/>
        </w:numPr>
        <w:ind w:hanging="350"/>
      </w:pPr>
      <w:r>
        <w:t>Purchase Gravity Flow Storage Racks at one store - $ 12K.</w:t>
      </w:r>
    </w:p>
    <w:p w14:paraId="4D447587" w14:textId="77777777" w:rsidR="009575B0" w:rsidRDefault="0093540B">
      <w:pPr>
        <w:numPr>
          <w:ilvl w:val="0"/>
          <w:numId w:val="1"/>
        </w:numPr>
        <w:spacing w:after="194"/>
        <w:ind w:hanging="350"/>
      </w:pPr>
      <w:r>
        <w:t>Replace entrance/exit doors at one store - $7.5K.</w:t>
      </w:r>
    </w:p>
    <w:p w14:paraId="565DA4B7" w14:textId="77777777" w:rsidR="009575B0" w:rsidRDefault="0093540B">
      <w:pPr>
        <w:numPr>
          <w:ilvl w:val="0"/>
          <w:numId w:val="1"/>
        </w:numPr>
        <w:spacing w:after="0" w:line="432" w:lineRule="auto"/>
        <w:ind w:hanging="350"/>
      </w:pPr>
      <w:r>
        <w:t xml:space="preserve">New store construction - $425K </w:t>
      </w:r>
      <w:r>
        <w:t xml:space="preserve">o </w:t>
      </w:r>
      <w:r>
        <w:t xml:space="preserve">Renovate restroom and office at one store - $7.5K </w:t>
      </w:r>
      <w:r>
        <w:t xml:space="preserve">o </w:t>
      </w:r>
      <w:r>
        <w:t xml:space="preserve">Replace ABC building signs at one store - $15K </w:t>
      </w:r>
      <w:r>
        <w:t xml:space="preserve">o </w:t>
      </w:r>
      <w:proofErr w:type="gramStart"/>
      <w:r>
        <w:t>New</w:t>
      </w:r>
      <w:proofErr w:type="gramEnd"/>
      <w:r>
        <w:t xml:space="preserve"> forklift for the warehouse - $50K</w:t>
      </w:r>
    </w:p>
    <w:p w14:paraId="6184F72A" w14:textId="77777777" w:rsidR="009575B0" w:rsidRDefault="0093540B">
      <w:pPr>
        <w:ind w:left="729" w:right="168" w:hanging="350"/>
      </w:pPr>
      <w:r>
        <w:rPr>
          <w:noProof/>
        </w:rPr>
        <w:drawing>
          <wp:inline distT="0" distB="0" distL="0" distR="0" wp14:anchorId="4ACEA200" wp14:editId="7429B243">
            <wp:extent cx="48768" cy="48782"/>
            <wp:effectExtent l="0" t="0" r="0" b="0"/>
            <wp:docPr id="2046" name="Picture 2046"/>
            <wp:cNvGraphicFramePr/>
            <a:graphic xmlns:a="http://schemas.openxmlformats.org/drawingml/2006/main">
              <a:graphicData uri="http://schemas.openxmlformats.org/drawingml/2006/picture">
                <pic:pic xmlns:pic="http://schemas.openxmlformats.org/drawingml/2006/picture">
                  <pic:nvPicPr>
                    <pic:cNvPr id="2046" name="Picture 2046"/>
                    <pic:cNvPicPr/>
                  </pic:nvPicPr>
                  <pic:blipFill>
                    <a:blip r:embed="rId5"/>
                    <a:stretch>
                      <a:fillRect/>
                    </a:stretch>
                  </pic:blipFill>
                  <pic:spPr>
                    <a:xfrm>
                      <a:off x="0" y="0"/>
                      <a:ext cx="48768" cy="48782"/>
                    </a:xfrm>
                    <a:prstGeom prst="rect">
                      <a:avLst/>
                    </a:prstGeom>
                  </pic:spPr>
                </pic:pic>
              </a:graphicData>
            </a:graphic>
          </wp:inline>
        </w:drawing>
      </w:r>
      <w:r>
        <w:t xml:space="preserve"> A cost-of-living increase in employees' pay will be granted if revenues are available. The Board adopted a policy on October 13, 2003, that the employees are given at least what the County gives for COLA to their employees, we are budgeting 5%.</w:t>
      </w:r>
    </w:p>
    <w:p w14:paraId="450AFBAC" w14:textId="77777777" w:rsidR="009575B0" w:rsidRDefault="0093540B">
      <w:pPr>
        <w:numPr>
          <w:ilvl w:val="0"/>
          <w:numId w:val="1"/>
        </w:numPr>
        <w:spacing w:after="77"/>
        <w:ind w:hanging="350"/>
      </w:pPr>
      <w:r>
        <w:t>Merit wage increases shall be considered for employees based on meritorious work performance.</w:t>
      </w:r>
    </w:p>
    <w:p w14:paraId="5165C129" w14:textId="77777777" w:rsidR="009575B0" w:rsidRDefault="0093540B">
      <w:pPr>
        <w:spacing w:after="207"/>
        <w:ind w:left="379"/>
      </w:pPr>
      <w:r>
        <w:rPr>
          <w:noProof/>
        </w:rPr>
        <w:drawing>
          <wp:inline distT="0" distB="0" distL="0" distR="0" wp14:anchorId="7EA8B37D" wp14:editId="28FACC0E">
            <wp:extent cx="48768" cy="45734"/>
            <wp:effectExtent l="0" t="0" r="0" b="0"/>
            <wp:docPr id="2047" name="Picture 2047"/>
            <wp:cNvGraphicFramePr/>
            <a:graphic xmlns:a="http://schemas.openxmlformats.org/drawingml/2006/main">
              <a:graphicData uri="http://schemas.openxmlformats.org/drawingml/2006/picture">
                <pic:pic xmlns:pic="http://schemas.openxmlformats.org/drawingml/2006/picture">
                  <pic:nvPicPr>
                    <pic:cNvPr id="2047" name="Picture 2047"/>
                    <pic:cNvPicPr/>
                  </pic:nvPicPr>
                  <pic:blipFill>
                    <a:blip r:embed="rId6"/>
                    <a:stretch>
                      <a:fillRect/>
                    </a:stretch>
                  </pic:blipFill>
                  <pic:spPr>
                    <a:xfrm>
                      <a:off x="0" y="0"/>
                      <a:ext cx="48768" cy="45734"/>
                    </a:xfrm>
                    <a:prstGeom prst="rect">
                      <a:avLst/>
                    </a:prstGeom>
                  </pic:spPr>
                </pic:pic>
              </a:graphicData>
            </a:graphic>
          </wp:inline>
        </w:drawing>
      </w:r>
      <w:r>
        <w:t xml:space="preserve"> Longevity pay will be given in December to eligible employees with at least 3 years of service.</w:t>
      </w:r>
    </w:p>
    <w:p w14:paraId="47B02D44" w14:textId="77777777" w:rsidR="009575B0" w:rsidRDefault="0093540B">
      <w:pPr>
        <w:spacing w:after="355"/>
        <w:ind w:left="14" w:right="178"/>
      </w:pPr>
      <w:r>
        <w:t xml:space="preserve">The Board's Budget Process: The Board's first budget was presented in FY 2003 - 04. The budget </w:t>
      </w:r>
      <w:proofErr w:type="gramStart"/>
      <w:r>
        <w:t>is</w:t>
      </w:r>
      <w:proofErr w:type="gramEnd"/>
      <w:r>
        <w:t xml:space="preserve"> prepared by the General Manager with the proposed budget being presented to the Board in May. The final budget is presented for approval at the June Board meeting.</w:t>
      </w:r>
    </w:p>
    <w:p w14:paraId="4CC56EB5" w14:textId="77777777" w:rsidR="009575B0" w:rsidRDefault="0093540B">
      <w:pPr>
        <w:ind w:left="14"/>
      </w:pPr>
      <w:r>
        <w:t>The Board does not have any outstanding debt.</w:t>
      </w:r>
    </w:p>
    <w:p w14:paraId="4D34E9E6" w14:textId="77777777" w:rsidR="009575B0" w:rsidRDefault="0093540B">
      <w:pPr>
        <w:spacing w:after="215" w:line="259" w:lineRule="auto"/>
        <w:ind w:left="178" w:right="610" w:hanging="5"/>
        <w:jc w:val="left"/>
      </w:pPr>
      <w:r>
        <w:rPr>
          <w:sz w:val="26"/>
        </w:rPr>
        <w:t>CUMBERLAND COUNTY ALCOHOLIC BEVERAGE CONTROL BOARD Budget for the fiscal year 2024 — 2025</w:t>
      </w:r>
    </w:p>
    <w:p w14:paraId="01FDF5B9" w14:textId="77777777" w:rsidR="009575B0" w:rsidRDefault="0093540B">
      <w:pPr>
        <w:spacing w:after="108" w:line="259" w:lineRule="auto"/>
        <w:ind w:left="168" w:hanging="10"/>
        <w:jc w:val="left"/>
      </w:pPr>
      <w:r>
        <w:rPr>
          <w:sz w:val="24"/>
        </w:rPr>
        <w:lastRenderedPageBreak/>
        <w:t>Priorities and Assumptions:</w:t>
      </w:r>
    </w:p>
    <w:p w14:paraId="06C87388" w14:textId="77777777" w:rsidR="009575B0" w:rsidRDefault="0093540B">
      <w:pPr>
        <w:spacing w:after="15"/>
        <w:ind w:left="547"/>
      </w:pPr>
      <w:r>
        <w:rPr>
          <w:noProof/>
        </w:rPr>
        <w:drawing>
          <wp:inline distT="0" distB="0" distL="0" distR="0" wp14:anchorId="3873027D" wp14:editId="2F33413D">
            <wp:extent cx="45720" cy="45733"/>
            <wp:effectExtent l="0" t="0" r="0" b="0"/>
            <wp:docPr id="3838" name="Picture 3838"/>
            <wp:cNvGraphicFramePr/>
            <a:graphic xmlns:a="http://schemas.openxmlformats.org/drawingml/2006/main">
              <a:graphicData uri="http://schemas.openxmlformats.org/drawingml/2006/picture">
                <pic:pic xmlns:pic="http://schemas.openxmlformats.org/drawingml/2006/picture">
                  <pic:nvPicPr>
                    <pic:cNvPr id="3838" name="Picture 3838"/>
                    <pic:cNvPicPr/>
                  </pic:nvPicPr>
                  <pic:blipFill>
                    <a:blip r:embed="rId7"/>
                    <a:stretch>
                      <a:fillRect/>
                    </a:stretch>
                  </pic:blipFill>
                  <pic:spPr>
                    <a:xfrm>
                      <a:off x="0" y="0"/>
                      <a:ext cx="45720" cy="45733"/>
                    </a:xfrm>
                    <a:prstGeom prst="rect">
                      <a:avLst/>
                    </a:prstGeom>
                  </pic:spPr>
                </pic:pic>
              </a:graphicData>
            </a:graphic>
          </wp:inline>
        </w:drawing>
      </w:r>
      <w:r>
        <w:t xml:space="preserve"> The Board has hired Alcohol Law Enforcement officers as authorized under NC GS 18B-501 (t). </w:t>
      </w:r>
      <w:r>
        <w:rPr>
          <w:noProof/>
        </w:rPr>
        <w:drawing>
          <wp:inline distT="0" distB="0" distL="0" distR="0" wp14:anchorId="5C5A941B" wp14:editId="19F0AC93">
            <wp:extent cx="45720" cy="48782"/>
            <wp:effectExtent l="0" t="0" r="0" b="0"/>
            <wp:docPr id="3839" name="Picture 3839"/>
            <wp:cNvGraphicFramePr/>
            <a:graphic xmlns:a="http://schemas.openxmlformats.org/drawingml/2006/main">
              <a:graphicData uri="http://schemas.openxmlformats.org/drawingml/2006/picture">
                <pic:pic xmlns:pic="http://schemas.openxmlformats.org/drawingml/2006/picture">
                  <pic:nvPicPr>
                    <pic:cNvPr id="3839" name="Picture 3839"/>
                    <pic:cNvPicPr/>
                  </pic:nvPicPr>
                  <pic:blipFill>
                    <a:blip r:embed="rId8"/>
                    <a:stretch>
                      <a:fillRect/>
                    </a:stretch>
                  </pic:blipFill>
                  <pic:spPr>
                    <a:xfrm>
                      <a:off x="0" y="0"/>
                      <a:ext cx="45720" cy="48782"/>
                    </a:xfrm>
                    <a:prstGeom prst="rect">
                      <a:avLst/>
                    </a:prstGeom>
                  </pic:spPr>
                </pic:pic>
              </a:graphicData>
            </a:graphic>
          </wp:inline>
        </w:drawing>
      </w:r>
      <w:r>
        <w:t xml:space="preserve"> Alcohol Education: Cumberland County ABC Board must contribute of the net profit remaining after the required distribution in NC GS</w:t>
      </w:r>
      <w:r>
        <w:rPr>
          <w:noProof/>
        </w:rPr>
        <w:drawing>
          <wp:inline distT="0" distB="0" distL="0" distR="0" wp14:anchorId="411931EF" wp14:editId="7E9D6FF1">
            <wp:extent cx="463297" cy="103662"/>
            <wp:effectExtent l="0" t="0" r="0" b="0"/>
            <wp:docPr id="7600" name="Picture 7600"/>
            <wp:cNvGraphicFramePr/>
            <a:graphic xmlns:a="http://schemas.openxmlformats.org/drawingml/2006/main">
              <a:graphicData uri="http://schemas.openxmlformats.org/drawingml/2006/picture">
                <pic:pic xmlns:pic="http://schemas.openxmlformats.org/drawingml/2006/picture">
                  <pic:nvPicPr>
                    <pic:cNvPr id="7600" name="Picture 7600"/>
                    <pic:cNvPicPr/>
                  </pic:nvPicPr>
                  <pic:blipFill>
                    <a:blip r:embed="rId9"/>
                    <a:stretch>
                      <a:fillRect/>
                    </a:stretch>
                  </pic:blipFill>
                  <pic:spPr>
                    <a:xfrm>
                      <a:off x="0" y="0"/>
                      <a:ext cx="463297" cy="103662"/>
                    </a:xfrm>
                    <a:prstGeom prst="rect">
                      <a:avLst/>
                    </a:prstGeom>
                  </pic:spPr>
                </pic:pic>
              </a:graphicData>
            </a:graphic>
          </wp:inline>
        </w:drawing>
      </w:r>
    </w:p>
    <w:p w14:paraId="5304DA29" w14:textId="77777777" w:rsidR="009575B0" w:rsidRDefault="0093540B">
      <w:pPr>
        <w:numPr>
          <w:ilvl w:val="0"/>
          <w:numId w:val="2"/>
        </w:numPr>
        <w:spacing w:after="286"/>
        <w:ind w:hanging="350"/>
      </w:pPr>
      <w:r>
        <w:t xml:space="preserve">The Board is required to maintain working capital at no less than two weeks' average gross sales of the latest fiscal year and no greater than three months' average gross sales of the latest fiscal year. Gross sales mean gross receipts from the sales of alcoholic beverages less distributions as defined in GS </w:t>
      </w:r>
      <w:r>
        <w:rPr>
          <w:noProof/>
        </w:rPr>
        <w:drawing>
          <wp:inline distT="0" distB="0" distL="0" distR="0" wp14:anchorId="78DC73BF" wp14:editId="3C5168B0">
            <wp:extent cx="1011936" cy="131102"/>
            <wp:effectExtent l="0" t="0" r="0" b="0"/>
            <wp:docPr id="3892" name="Picture 3892"/>
            <wp:cNvGraphicFramePr/>
            <a:graphic xmlns:a="http://schemas.openxmlformats.org/drawingml/2006/main">
              <a:graphicData uri="http://schemas.openxmlformats.org/drawingml/2006/picture">
                <pic:pic xmlns:pic="http://schemas.openxmlformats.org/drawingml/2006/picture">
                  <pic:nvPicPr>
                    <pic:cNvPr id="3892" name="Picture 3892"/>
                    <pic:cNvPicPr/>
                  </pic:nvPicPr>
                  <pic:blipFill>
                    <a:blip r:embed="rId10"/>
                    <a:stretch>
                      <a:fillRect/>
                    </a:stretch>
                  </pic:blipFill>
                  <pic:spPr>
                    <a:xfrm>
                      <a:off x="0" y="0"/>
                      <a:ext cx="1011936" cy="131102"/>
                    </a:xfrm>
                    <a:prstGeom prst="rect">
                      <a:avLst/>
                    </a:prstGeom>
                  </pic:spPr>
                </pic:pic>
              </a:graphicData>
            </a:graphic>
          </wp:inline>
        </w:drawing>
      </w:r>
      <w:r>
        <w:t>and (4)."</w:t>
      </w:r>
    </w:p>
    <w:p w14:paraId="7C3238BD" w14:textId="77777777" w:rsidR="009575B0" w:rsidRDefault="0093540B">
      <w:pPr>
        <w:numPr>
          <w:ilvl w:val="0"/>
          <w:numId w:val="2"/>
        </w:numPr>
        <w:spacing w:after="127"/>
        <w:ind w:hanging="350"/>
      </w:pPr>
      <w:r>
        <w:t>As of March 31, 2024, the Board's Working Capital is calculated to be:</w:t>
      </w:r>
    </w:p>
    <w:p w14:paraId="2DB7A41F" w14:textId="77777777" w:rsidR="009575B0" w:rsidRDefault="0093540B">
      <w:pPr>
        <w:tabs>
          <w:tab w:val="center" w:pos="3310"/>
          <w:tab w:val="center" w:pos="5515"/>
        </w:tabs>
        <w:spacing w:after="144"/>
        <w:ind w:left="0"/>
        <w:jc w:val="left"/>
      </w:pPr>
      <w:r>
        <w:tab/>
      </w:r>
      <w:r>
        <w:rPr>
          <w:noProof/>
        </w:rPr>
        <w:drawing>
          <wp:inline distT="0" distB="0" distL="0" distR="0" wp14:anchorId="1A29FCFC" wp14:editId="57DB093E">
            <wp:extent cx="45720" cy="45733"/>
            <wp:effectExtent l="0" t="0" r="0" b="0"/>
            <wp:docPr id="3848" name="Picture 3848"/>
            <wp:cNvGraphicFramePr/>
            <a:graphic xmlns:a="http://schemas.openxmlformats.org/drawingml/2006/main">
              <a:graphicData uri="http://schemas.openxmlformats.org/drawingml/2006/picture">
                <pic:pic xmlns:pic="http://schemas.openxmlformats.org/drawingml/2006/picture">
                  <pic:nvPicPr>
                    <pic:cNvPr id="3848" name="Picture 3848"/>
                    <pic:cNvPicPr/>
                  </pic:nvPicPr>
                  <pic:blipFill>
                    <a:blip r:embed="rId11"/>
                    <a:stretch>
                      <a:fillRect/>
                    </a:stretch>
                  </pic:blipFill>
                  <pic:spPr>
                    <a:xfrm>
                      <a:off x="0" y="0"/>
                      <a:ext cx="45720" cy="45733"/>
                    </a:xfrm>
                    <a:prstGeom prst="rect">
                      <a:avLst/>
                    </a:prstGeom>
                  </pic:spPr>
                </pic:pic>
              </a:graphicData>
            </a:graphic>
          </wp:inline>
        </w:drawing>
      </w:r>
      <w:r>
        <w:t xml:space="preserve"> Minimum working capital </w:t>
      </w:r>
      <w:r>
        <w:tab/>
        <w:t>$1,754,252</w:t>
      </w:r>
    </w:p>
    <w:p w14:paraId="791FFDAB" w14:textId="77777777" w:rsidR="009575B0" w:rsidRDefault="0093540B">
      <w:pPr>
        <w:spacing w:after="295"/>
        <w:ind w:left="1978"/>
      </w:pPr>
      <w:r>
        <w:rPr>
          <w:noProof/>
        </w:rPr>
        <w:drawing>
          <wp:inline distT="0" distB="0" distL="0" distR="0" wp14:anchorId="08FE641F" wp14:editId="2253AF83">
            <wp:extent cx="48768" cy="48782"/>
            <wp:effectExtent l="0" t="0" r="0" b="0"/>
            <wp:docPr id="3849" name="Picture 3849"/>
            <wp:cNvGraphicFramePr/>
            <a:graphic xmlns:a="http://schemas.openxmlformats.org/drawingml/2006/main">
              <a:graphicData uri="http://schemas.openxmlformats.org/drawingml/2006/picture">
                <pic:pic xmlns:pic="http://schemas.openxmlformats.org/drawingml/2006/picture">
                  <pic:nvPicPr>
                    <pic:cNvPr id="3849" name="Picture 3849"/>
                    <pic:cNvPicPr/>
                  </pic:nvPicPr>
                  <pic:blipFill>
                    <a:blip r:embed="rId12"/>
                    <a:stretch>
                      <a:fillRect/>
                    </a:stretch>
                  </pic:blipFill>
                  <pic:spPr>
                    <a:xfrm>
                      <a:off x="0" y="0"/>
                      <a:ext cx="48768" cy="48782"/>
                    </a:xfrm>
                    <a:prstGeom prst="rect">
                      <a:avLst/>
                    </a:prstGeom>
                  </pic:spPr>
                </pic:pic>
              </a:graphicData>
            </a:graphic>
          </wp:inline>
        </w:drawing>
      </w:r>
      <w:r>
        <w:t xml:space="preserve"> Maximum working capital $11,402,637</w:t>
      </w:r>
    </w:p>
    <w:p w14:paraId="5B53831A" w14:textId="77777777" w:rsidR="009575B0" w:rsidRDefault="0093540B">
      <w:pPr>
        <w:numPr>
          <w:ilvl w:val="0"/>
          <w:numId w:val="2"/>
        </w:numPr>
        <w:spacing w:after="283"/>
        <w:ind w:hanging="350"/>
      </w:pPr>
      <w:r>
        <w:t>The actual Working Capital as of 03/31/2024 was $6,100,000. The Board voted on 02/13/2023 to adopt $6, 100,000 as the minimum amount to maintain for Working Capital.</w:t>
      </w:r>
    </w:p>
    <w:p w14:paraId="2DD9718F" w14:textId="77777777" w:rsidR="009575B0" w:rsidRDefault="0093540B">
      <w:pPr>
        <w:numPr>
          <w:ilvl w:val="0"/>
          <w:numId w:val="2"/>
        </w:numPr>
        <w:spacing w:after="223"/>
        <w:ind w:hanging="350"/>
      </w:pPr>
      <w:r>
        <w:t>Profit distributions to the County are paid quarterly.</w:t>
      </w:r>
    </w:p>
    <w:p w14:paraId="09E6511F" w14:textId="77777777" w:rsidR="009575B0" w:rsidRDefault="0093540B">
      <w:pPr>
        <w:spacing w:after="108" w:line="259" w:lineRule="auto"/>
        <w:ind w:left="168" w:hanging="10"/>
        <w:jc w:val="left"/>
      </w:pPr>
      <w:r>
        <w:rPr>
          <w:sz w:val="24"/>
        </w:rPr>
        <w:t>Staffing Summary:</w:t>
      </w:r>
    </w:p>
    <w:p w14:paraId="63C2C164" w14:textId="77777777" w:rsidR="009575B0" w:rsidRDefault="0093540B">
      <w:pPr>
        <w:ind w:left="158"/>
      </w:pPr>
      <w:r>
        <w:t>The Board has authorized a total of 61 full-time positions and 37 part-time positions. All positions are allocated by the department as follows:</w:t>
      </w:r>
    </w:p>
    <w:p w14:paraId="4181FCD5" w14:textId="77777777" w:rsidR="009575B0" w:rsidRDefault="0093540B">
      <w:pPr>
        <w:spacing w:after="18"/>
        <w:ind w:left="869"/>
      </w:pPr>
      <w:r>
        <w:t>Retail and Liquor-By-the-Drink Permit ABC Store Employees 76</w:t>
      </w:r>
    </w:p>
    <w:p w14:paraId="32CD599C" w14:textId="77777777" w:rsidR="009575B0" w:rsidRDefault="0093540B">
      <w:pPr>
        <w:tabs>
          <w:tab w:val="center" w:pos="1879"/>
          <w:tab w:val="center" w:pos="6744"/>
        </w:tabs>
        <w:spacing w:after="12"/>
        <w:ind w:left="0"/>
        <w:jc w:val="left"/>
      </w:pPr>
      <w:r>
        <w:tab/>
        <w:t>Warehouse Employees</w:t>
      </w:r>
      <w:r>
        <w:tab/>
        <w:t>12</w:t>
      </w:r>
    </w:p>
    <w:p w14:paraId="0AF39489" w14:textId="77777777" w:rsidR="009575B0" w:rsidRDefault="0093540B">
      <w:pPr>
        <w:ind w:left="869" w:right="2266"/>
      </w:pPr>
      <w:r>
        <w:t>General &amp; Administrative Employees</w:t>
      </w:r>
      <w:r>
        <w:tab/>
        <w:t>6 Law Enforcement</w:t>
      </w:r>
      <w:r>
        <w:tab/>
        <w:t>4</w:t>
      </w:r>
    </w:p>
    <w:p w14:paraId="3D95FD99" w14:textId="77777777" w:rsidR="009575B0" w:rsidRDefault="0093540B">
      <w:pPr>
        <w:spacing w:after="108" w:line="259" w:lineRule="auto"/>
        <w:ind w:left="168" w:hanging="10"/>
        <w:jc w:val="left"/>
      </w:pPr>
      <w:r>
        <w:rPr>
          <w:noProof/>
        </w:rPr>
        <w:drawing>
          <wp:inline distT="0" distB="0" distL="0" distR="0" wp14:anchorId="7F80FB8B" wp14:editId="123F043A">
            <wp:extent cx="6096" cy="3049"/>
            <wp:effectExtent l="0" t="0" r="0" b="0"/>
            <wp:docPr id="3850" name="Picture 3850"/>
            <wp:cNvGraphicFramePr/>
            <a:graphic xmlns:a="http://schemas.openxmlformats.org/drawingml/2006/main">
              <a:graphicData uri="http://schemas.openxmlformats.org/drawingml/2006/picture">
                <pic:pic xmlns:pic="http://schemas.openxmlformats.org/drawingml/2006/picture">
                  <pic:nvPicPr>
                    <pic:cNvPr id="3850" name="Picture 3850"/>
                    <pic:cNvPicPr/>
                  </pic:nvPicPr>
                  <pic:blipFill>
                    <a:blip r:embed="rId13"/>
                    <a:stretch>
                      <a:fillRect/>
                    </a:stretch>
                  </pic:blipFill>
                  <pic:spPr>
                    <a:xfrm>
                      <a:off x="0" y="0"/>
                      <a:ext cx="6096" cy="3049"/>
                    </a:xfrm>
                    <a:prstGeom prst="rect">
                      <a:avLst/>
                    </a:prstGeom>
                  </pic:spPr>
                </pic:pic>
              </a:graphicData>
            </a:graphic>
          </wp:inline>
        </w:drawing>
      </w:r>
      <w:r>
        <w:rPr>
          <w:sz w:val="24"/>
        </w:rPr>
        <w:t>Conclusion:</w:t>
      </w:r>
    </w:p>
    <w:p w14:paraId="3E2EA867" w14:textId="77777777" w:rsidR="009575B0" w:rsidRDefault="0093540B">
      <w:pPr>
        <w:spacing w:after="11"/>
        <w:ind w:left="149"/>
      </w:pPr>
      <w:r>
        <w:t>The budget reflects the Board's commitment to fulfilling its mission based on known information.</w:t>
      </w:r>
    </w:p>
    <w:p w14:paraId="1EFF5EBF" w14:textId="77777777" w:rsidR="009575B0" w:rsidRDefault="0093540B">
      <w:pPr>
        <w:spacing w:after="34" w:line="259" w:lineRule="auto"/>
        <w:ind w:left="125"/>
        <w:jc w:val="left"/>
      </w:pPr>
      <w:r>
        <w:rPr>
          <w:noProof/>
        </w:rPr>
        <w:drawing>
          <wp:inline distT="0" distB="0" distL="0" distR="0" wp14:anchorId="1691DAF2" wp14:editId="74894064">
            <wp:extent cx="2249424" cy="307936"/>
            <wp:effectExtent l="0" t="0" r="0" b="0"/>
            <wp:docPr id="3893" name="Picture 3893"/>
            <wp:cNvGraphicFramePr/>
            <a:graphic xmlns:a="http://schemas.openxmlformats.org/drawingml/2006/main">
              <a:graphicData uri="http://schemas.openxmlformats.org/drawingml/2006/picture">
                <pic:pic xmlns:pic="http://schemas.openxmlformats.org/drawingml/2006/picture">
                  <pic:nvPicPr>
                    <pic:cNvPr id="3893" name="Picture 3893"/>
                    <pic:cNvPicPr/>
                  </pic:nvPicPr>
                  <pic:blipFill>
                    <a:blip r:embed="rId14"/>
                    <a:stretch>
                      <a:fillRect/>
                    </a:stretch>
                  </pic:blipFill>
                  <pic:spPr>
                    <a:xfrm>
                      <a:off x="0" y="0"/>
                      <a:ext cx="2249424" cy="307936"/>
                    </a:xfrm>
                    <a:prstGeom prst="rect">
                      <a:avLst/>
                    </a:prstGeom>
                  </pic:spPr>
                </pic:pic>
              </a:graphicData>
            </a:graphic>
          </wp:inline>
        </w:drawing>
      </w:r>
    </w:p>
    <w:p w14:paraId="45E28B5F" w14:textId="77777777" w:rsidR="009575B0" w:rsidRDefault="0093540B">
      <w:pPr>
        <w:spacing w:after="11"/>
        <w:ind w:left="139"/>
      </w:pPr>
      <w:r>
        <w:t>David Horne</w:t>
      </w:r>
    </w:p>
    <w:p w14:paraId="1F098804" w14:textId="77777777" w:rsidR="009575B0" w:rsidRDefault="0093540B">
      <w:pPr>
        <w:spacing w:after="268"/>
        <w:ind w:left="144"/>
      </w:pPr>
      <w:r>
        <w:t>General Manager</w:t>
      </w:r>
    </w:p>
    <w:p w14:paraId="4BB3C663" w14:textId="77777777" w:rsidR="009575B0" w:rsidRDefault="0093540B">
      <w:pPr>
        <w:ind w:left="139"/>
      </w:pPr>
      <w:r>
        <w:t>Attached: Final Budget for the Fiscal Year 2024 2025.</w:t>
      </w:r>
    </w:p>
    <w:sectPr w:rsidR="009575B0">
      <w:pgSz w:w="11904" w:h="16834"/>
      <w:pgMar w:top="981" w:right="965" w:bottom="2515" w:left="14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3847" o:spid="_x0000_i1026" style="width:4.8pt;height:4.8pt" coordsize="" o:spt="100" o:bullet="t" adj="0,,0" path="" stroked="f">
        <v:stroke joinstyle="miter"/>
        <v:imagedata r:id="rId1" o:title="image11"/>
        <v:formulas/>
        <v:path o:connecttype="segments"/>
      </v:shape>
    </w:pict>
  </w:numPicBullet>
  <w:abstractNum w:abstractNumId="0" w15:restartNumberingAfterBreak="0">
    <w:nsid w:val="47887D11"/>
    <w:multiLevelType w:val="hybridMultilevel"/>
    <w:tmpl w:val="B598070E"/>
    <w:lvl w:ilvl="0" w:tplc="084CAC9A">
      <w:start w:val="1"/>
      <w:numFmt w:val="bullet"/>
      <w:lvlText w:val="o"/>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2C6736">
      <w:start w:val="1"/>
      <w:numFmt w:val="bullet"/>
      <w:lvlText w:val="o"/>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166670">
      <w:start w:val="1"/>
      <w:numFmt w:val="bullet"/>
      <w:lvlText w:val="▪"/>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2062A0">
      <w:start w:val="1"/>
      <w:numFmt w:val="bullet"/>
      <w:lvlText w:val="•"/>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1ED92C">
      <w:start w:val="1"/>
      <w:numFmt w:val="bullet"/>
      <w:lvlText w:val="o"/>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E40172">
      <w:start w:val="1"/>
      <w:numFmt w:val="bullet"/>
      <w:lvlText w:val="▪"/>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341356">
      <w:start w:val="1"/>
      <w:numFmt w:val="bullet"/>
      <w:lvlText w:val="•"/>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A4FF8">
      <w:start w:val="1"/>
      <w:numFmt w:val="bullet"/>
      <w:lvlText w:val="o"/>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1AD928">
      <w:start w:val="1"/>
      <w:numFmt w:val="bullet"/>
      <w:lvlText w:val="▪"/>
      <w:lvlJc w:val="left"/>
      <w:pPr>
        <w:ind w:left="7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CAE7F33"/>
    <w:multiLevelType w:val="hybridMultilevel"/>
    <w:tmpl w:val="2F4CFC3A"/>
    <w:lvl w:ilvl="0" w:tplc="EC2AC098">
      <w:start w:val="1"/>
      <w:numFmt w:val="bullet"/>
      <w:lvlText w:val="•"/>
      <w:lvlPicBulletId w:val="0"/>
      <w:lvlJc w:val="left"/>
      <w:pPr>
        <w:ind w:left="1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70417A">
      <w:start w:val="1"/>
      <w:numFmt w:val="bullet"/>
      <w:lvlText w:val="o"/>
      <w:lvlJc w:val="left"/>
      <w:pPr>
        <w:ind w:left="2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B8CB02">
      <w:start w:val="1"/>
      <w:numFmt w:val="bullet"/>
      <w:lvlText w:val="▪"/>
      <w:lvlJc w:val="left"/>
      <w:pPr>
        <w:ind w:left="2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1A3722">
      <w:start w:val="1"/>
      <w:numFmt w:val="bullet"/>
      <w:lvlText w:val="•"/>
      <w:lvlJc w:val="left"/>
      <w:pPr>
        <w:ind w:left="3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6C19CA">
      <w:start w:val="1"/>
      <w:numFmt w:val="bullet"/>
      <w:lvlText w:val="o"/>
      <w:lvlJc w:val="left"/>
      <w:pPr>
        <w:ind w:left="4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6CDA3A">
      <w:start w:val="1"/>
      <w:numFmt w:val="bullet"/>
      <w:lvlText w:val="▪"/>
      <w:lvlJc w:val="left"/>
      <w:pPr>
        <w:ind w:left="4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D42104">
      <w:start w:val="1"/>
      <w:numFmt w:val="bullet"/>
      <w:lvlText w:val="•"/>
      <w:lvlJc w:val="left"/>
      <w:pPr>
        <w:ind w:left="5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4AA732">
      <w:start w:val="1"/>
      <w:numFmt w:val="bullet"/>
      <w:lvlText w:val="o"/>
      <w:lvlJc w:val="left"/>
      <w:pPr>
        <w:ind w:left="6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8EE7C2">
      <w:start w:val="1"/>
      <w:numFmt w:val="bullet"/>
      <w:lvlText w:val="▪"/>
      <w:lvlJc w:val="left"/>
      <w:pPr>
        <w:ind w:left="7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341354782">
    <w:abstractNumId w:val="0"/>
  </w:num>
  <w:num w:numId="2" w16cid:durableId="1746999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B0"/>
    <w:rsid w:val="0093540B"/>
    <w:rsid w:val="009575B0"/>
    <w:rsid w:val="00FE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2438AD"/>
  <w15:docId w15:val="{F358A489-1B84-43F9-93DD-5F2DD811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8" w:line="247" w:lineRule="auto"/>
      <w:ind w:left="29"/>
      <w:jc w:val="both"/>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image" Target="media/image9.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fontTable" Target="fontTable.xml"/><Relationship Id="rId10"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Horne</dc:creator>
  <cp:keywords/>
  <cp:lastModifiedBy>David Horne</cp:lastModifiedBy>
  <cp:revision>2</cp:revision>
  <dcterms:created xsi:type="dcterms:W3CDTF">2024-05-30T12:29:00Z</dcterms:created>
  <dcterms:modified xsi:type="dcterms:W3CDTF">2024-05-30T12:29:00Z</dcterms:modified>
</cp:coreProperties>
</file>